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Изначально Вышестоящий Дом Изначально Вышестоящего Отца</w:t>
      </w:r>
    </w:p>
    <w:p w:rsidR="00000000" w:rsidDel="00000000" w:rsidP="00000000" w:rsidRDefault="00000000" w:rsidRPr="00000000" w14:paraId="00000002">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Тезисы ИВДИВО</w:t>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Аватар  ИВО</w:t>
      </w:r>
    </w:p>
    <w:p w:rsidR="00000000" w:rsidDel="00000000" w:rsidP="00000000" w:rsidRDefault="00000000" w:rsidRPr="00000000" w14:paraId="000000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ИВДИВО-космической Иерархии ИВО ИВАС Владомира,</w:t>
      </w:r>
    </w:p>
    <w:p w:rsidR="00000000" w:rsidDel="00000000" w:rsidP="00000000" w:rsidRDefault="00000000" w:rsidRPr="00000000" w14:paraId="0000000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ИВДИВО-Секретарь иерархического синтеза  ИВАС Кут Хуми</w:t>
      </w:r>
    </w:p>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подразделения ИДИВО Самара</w:t>
      </w:r>
    </w:p>
    <w:p w:rsidR="00000000" w:rsidDel="00000000" w:rsidP="00000000" w:rsidRDefault="00000000" w:rsidRPr="00000000" w14:paraId="00000009">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Надежда Тихонова.</w:t>
      </w:r>
    </w:p>
    <w:p w:rsidR="00000000" w:rsidDel="00000000" w:rsidP="00000000" w:rsidRDefault="00000000" w:rsidRPr="00000000" w14:paraId="0000000B">
      <w:pPr>
        <w:jc w:val="right"/>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nadezdasintez</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@gmail.com</w:t>
        </w:r>
      </w:hyperlink>
      <w:r w:rsidDel="00000000" w:rsidR="00000000" w:rsidRPr="00000000">
        <w:rPr>
          <w:rtl w:val="0"/>
        </w:rPr>
      </w:r>
    </w:p>
    <w:p w:rsidR="00000000" w:rsidDel="00000000" w:rsidP="00000000" w:rsidRDefault="00000000" w:rsidRPr="00000000" w14:paraId="0000000C">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Наука Экономического синтеза</w:t>
      </w:r>
    </w:p>
    <w:p w:rsidR="00000000" w:rsidDel="00000000" w:rsidP="00000000" w:rsidRDefault="00000000" w:rsidRPr="00000000" w14:paraId="0000000E">
      <w:pPr>
        <w:jc w:val="right"/>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Частность воскрешение как фактор изменения экономики планеты Земля Экономическим Синтезом</w:t>
      </w:r>
    </w:p>
    <w:p w:rsidR="00000000" w:rsidDel="00000000" w:rsidP="00000000" w:rsidRDefault="00000000" w:rsidRPr="00000000" w14:paraId="00000010">
      <w:pPr>
        <w:jc w:val="center"/>
        <w:rPr>
          <w:rFonts w:ascii="Times New Roman" w:cs="Times New Roman" w:eastAsia="Times New Roman" w:hAnsi="Times New Roman"/>
          <w:b w:val="1"/>
          <w:bCs w:val="1"/>
          <w:sz w:val="28"/>
          <w:szCs w:val="28"/>
          <w:highlight w:val="yellow"/>
        </w:rPr>
      </w:pPr>
      <w:r w:rsidDel="00000000" w:rsidR="00000000" w:rsidRPr="00000000">
        <w:rPr>
          <w:rtl w:val="0"/>
        </w:rPr>
      </w:r>
    </w:p>
    <w:p w:rsidR="00000000" w:rsidDel="00000000" w:rsidP="00000000" w:rsidRDefault="00000000" w:rsidRPr="00000000" w14:paraId="00000011">
      <w:pPr>
        <w:ind w:firstLine="708.6614173228347"/>
        <w:jc w:val="both"/>
        <w:rPr>
          <w:rFonts w:ascii="Times New Roman" w:cs="Times New Roman" w:eastAsia="Times New Roman" w:hAnsi="Times New Roman"/>
          <w:color w:val="0a0a0a"/>
          <w:sz w:val="24"/>
          <w:szCs w:val="24"/>
          <w:highlight w:val="white"/>
        </w:rPr>
      </w:pPr>
      <w:r w:rsidDel="00000000" w:rsidR="00000000" w:rsidRPr="00000000">
        <w:rPr>
          <w:rFonts w:ascii="Times New Roman" w:cs="Times New Roman" w:eastAsia="Times New Roman" w:hAnsi="Times New Roman"/>
          <w:sz w:val="24"/>
          <w:szCs w:val="24"/>
          <w:rtl w:val="0"/>
        </w:rPr>
        <w:t xml:space="preserve">Вопросы экономического развития исторически рассматривались в 18 и 19 веках. Анализ ее развития в мире за это время даёт определённый вывод: экономические тенденции в истории развивались от использования человека в качестве придатка к производству к признанию его ключевым ресурсом, что продолжается и по сей день. </w:t>
      </w:r>
      <w:r w:rsidDel="00000000" w:rsidR="00000000" w:rsidRPr="00000000">
        <w:rPr>
          <w:rFonts w:ascii="Times New Roman" w:cs="Times New Roman" w:eastAsia="Times New Roman" w:hAnsi="Times New Roman"/>
          <w:color w:val="0a0a0a"/>
          <w:sz w:val="24"/>
          <w:szCs w:val="24"/>
          <w:highlight w:val="white"/>
          <w:rtl w:val="0"/>
        </w:rPr>
        <w:t xml:space="preserve">Чтобы переориентировать экономику на ценность человека, надо понять, что её изменения должны соответствовать стандартам экономики ИВДИВО.</w:t>
      </w:r>
    </w:p>
    <w:p w:rsidR="00000000" w:rsidDel="00000000" w:rsidP="00000000" w:rsidRDefault="00000000" w:rsidRPr="00000000" w14:paraId="00000012">
      <w:pPr>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Один из взглядов на ДИВО-экономику в науке Экономического Синтеза заключается в том, что экономика – это взаимодействие субъектов, живущих на планете Земля, с ИВДИВО. Акцент переводиться с только внешних экономических процессов на внутренний рост экономического потенциала Субъекта от Человека до Отца для дальнейшей внешней реализации</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13">
      <w:pPr>
        <w:ind w:firstLine="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Ещё один из подходов к определению ИВДИВО-экономики: Экономика – </w:t>
      </w:r>
      <w:r w:rsidDel="00000000" w:rsidR="00000000" w:rsidRPr="00000000">
        <w:rPr>
          <w:rFonts w:ascii="Times New Roman" w:cs="Times New Roman" w:eastAsia="Times New Roman" w:hAnsi="Times New Roman"/>
          <w:b w:val="1"/>
          <w:bCs w:val="1"/>
          <w:sz w:val="24"/>
          <w:szCs w:val="24"/>
          <w:rtl w:val="0"/>
        </w:rPr>
        <w:t xml:space="preserve">синтез частностей субъектов – Омег ИВ Отца, реализующих законы Дома ИВ Отца, где частности как ценности</w:t>
      </w:r>
    </w:p>
    <w:p w:rsidR="00000000" w:rsidDel="00000000" w:rsidP="00000000" w:rsidRDefault="00000000" w:rsidRPr="00000000" w14:paraId="00000014">
      <w:pPr>
        <w:ind w:firstLine="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Следовательно, каждая частность нуждается в развитии для повышения качества предметной деятельности Субъекта,  чтобы менялся сам Субъект во внутреннем мире и  через генетику влиял на изменение материи и экономики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5">
      <w:pPr>
        <w:ind w:firstLine="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На примере одной из 64-х базовых частностей </w:t>
      </w:r>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частности воскрешение раскрывается вышесказанное. Функционал частности воскрешение: разбор и сбор любого состояния иерархической подготовки, устремление в новую Компетентность, возбуждение и инициирвание возожжённостт реализаций, компетенций и их ядер. Воскрешение как частность развертывает иерархическое Слово и Дело, воскрешающее синтезом всех иерархических подготовок, синтезирующее одномоментно все достижения Духа и Огня.</w:t>
      </w:r>
      <w:r w:rsidDel="00000000" w:rsidR="00000000" w:rsidRPr="00000000">
        <w:rPr>
          <w:rtl w:val="0"/>
        </w:rPr>
      </w:r>
    </w:p>
    <w:p w:rsidR="00000000" w:rsidDel="00000000" w:rsidP="00000000" w:rsidRDefault="00000000" w:rsidRPr="00000000" w14:paraId="00000016">
      <w:pPr>
        <w:ind w:firstLine="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Частность воскрешение </w:t>
      </w:r>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разрабатывается на 56-м горизонте, где фиксируется Организация ИВДИВО </w:t>
      </w:r>
      <w:r w:rsidDel="00000000" w:rsidR="00000000" w:rsidRPr="00000000">
        <w:rPr>
          <w:rFonts w:ascii="Times New Roman" w:cs="Times New Roman" w:eastAsia="Times New Roman" w:hAnsi="Times New Roman"/>
          <w:color w:val="11111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Высшая ИВДИВО-космическая Иерархия ИВ Отца. Сама факторность порядков Иерархии запускает процессы: Субъект входит в следующий, например, вид материи, в следующую реальность, и в теле начинают количественно увеличиваться те порядки, которыми он овладел</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7">
      <w:pPr>
        <w:ind w:firstLine="425"/>
        <w:jc w:val="both"/>
        <w:rPr>
          <w:rFonts w:ascii="Times New Roman" w:cs="Times New Roman" w:eastAsia="Times New Roman" w:hAnsi="Times New Roman"/>
          <w:b w:val="1"/>
          <w:bCs w:val="1"/>
          <w:color w:val="111111"/>
          <w:sz w:val="24"/>
          <w:szCs w:val="24"/>
        </w:rPr>
      </w:pPr>
      <w:r w:rsidDel="00000000" w:rsidR="00000000" w:rsidRPr="00000000">
        <w:rPr>
          <w:rFonts w:ascii="Times New Roman" w:cs="Times New Roman" w:eastAsia="Times New Roman" w:hAnsi="Times New Roman"/>
          <w:sz w:val="24"/>
          <w:szCs w:val="24"/>
          <w:rtl w:val="0"/>
        </w:rPr>
        <w:t xml:space="preserve">Частность воскрешение вырабатывается сейчас частью </w:t>
      </w:r>
      <w:r w:rsidDel="00000000" w:rsidR="00000000" w:rsidRPr="00000000">
        <w:rPr>
          <w:rFonts w:ascii="Times New Roman" w:cs="Times New Roman" w:eastAsia="Times New Roman" w:hAnsi="Times New Roman"/>
          <w:color w:val="11111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Ивдивость Воли </w:t>
      </w:r>
      <w:r w:rsidDel="00000000" w:rsidR="00000000" w:rsidRPr="00000000">
        <w:rPr>
          <w:rFonts w:ascii="Times New Roman" w:cs="Times New Roman" w:eastAsia="Times New Roman" w:hAnsi="Times New Roman"/>
          <w:color w:val="11111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волевой процесс. Именно из Воли ИВО включается интенция к синтезированию частей между собой, а следствием получается Синтез частностей</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своей деятельности эта часть основывается на систему магнитности. Магнитность концентрирует, стягивает и переключает Субъекта на качественно иной состав материи, переводя его на то, что Субъект в магните сложил. Параллельно здесь обязательно работает аннигиляция, где завершаются старые магнитности и выстраиваются совершенно иные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Дееспособность Ивдивости Воли вырабатывает дееспособную частность воскрешение.</w:t>
      </w:r>
      <w:r w:rsidDel="00000000" w:rsidR="00000000" w:rsidRPr="00000000">
        <w:rPr>
          <w:rtl w:val="0"/>
        </w:rPr>
      </w:r>
    </w:p>
    <w:p w:rsidR="00000000" w:rsidDel="00000000" w:rsidP="00000000" w:rsidRDefault="00000000" w:rsidRPr="00000000" w14:paraId="0000001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sz w:val="23"/>
          <w:szCs w:val="23"/>
          <w:rtl w:val="0"/>
        </w:rPr>
        <w:t xml:space="preserve">акурсом науки Экономического Синтеза для ее количественных и качественных параметров нужно определить, что Наука закладывает и организует процессы управления материей. Значит, параметры будут однозначно связаны с иерархией материи</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tl w:val="0"/>
        </w:rPr>
      </w:r>
    </w:p>
    <w:p w:rsidR="00000000" w:rsidDel="00000000" w:rsidP="00000000" w:rsidRDefault="00000000" w:rsidRPr="00000000" w14:paraId="00000019">
      <w:pPr>
        <w:spacing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Ивдивость воли при внутренней отстраненности и организованности складывает нужный Синтез частей, которые, вырабатывая частности, дают нам Синтез частностей, перестраивая Субъекта в его внутренней организации, а через него материю и экономику. Ивдивость Воли – это та состоятельность всего во всём, во всех фундаментальных основаниях и во всех частностях, которые текут и оперируются в этом явлении, не только каков Субъект, а каково всё им. И в Воскрешении сама материя становится </w:t>
      </w:r>
      <w:r w:rsidDel="00000000" w:rsidR="00000000" w:rsidRPr="00000000">
        <w:rPr>
          <w:rFonts w:ascii="Times New Roman" w:cs="Times New Roman" w:eastAsia="Times New Roman" w:hAnsi="Times New Roman"/>
          <w:sz w:val="24"/>
          <w:szCs w:val="24"/>
          <w:rtl w:val="0"/>
        </w:rPr>
        <w:t xml:space="preserve">ивдивной</w:t>
      </w:r>
      <w:r w:rsidDel="00000000" w:rsidR="00000000" w:rsidRPr="00000000">
        <w:rPr>
          <w:rFonts w:ascii="Times New Roman" w:cs="Times New Roman" w:eastAsia="Times New Roman" w:hAnsi="Times New Roman"/>
          <w:sz w:val="24"/>
          <w:szCs w:val="24"/>
          <w:rtl w:val="0"/>
        </w:rPr>
        <w:t xml:space="preserve">, когда в ней появляется другой иерархический порядок</w:t>
      </w:r>
      <w:r w:rsidDel="00000000" w:rsidR="00000000" w:rsidRPr="00000000">
        <w:rPr>
          <w:rFonts w:ascii="Times New Roman" w:cs="Times New Roman" w:eastAsia="Times New Roman" w:hAnsi="Times New Roman"/>
          <w:b w:val="1"/>
          <w:bCs w:val="1"/>
          <w:color w:val="11111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Ракурсом науки Экономического Синтеза вырабатываемая Субъектом частность воскрешение, влияющая на запуск процесса Экономического Синтеза, всегда конкретна. Компакт материи можно назвать частностью воскрешение, несущей запись иерархических путей Субъекта, где собираются даже небольшие фрагменты достижений для того, чтобы сегодня они синтезировались новым Огнём и Синтезом, и Субъект состоялся в той иерархии материи, которая ему необходима. </w:t>
      </w:r>
    </w:p>
    <w:p w:rsidR="00000000" w:rsidDel="00000000" w:rsidP="00000000" w:rsidRDefault="00000000" w:rsidRPr="00000000" w14:paraId="0000001B">
      <w:pPr>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у Субъекта появляется отсюда совершенно другой процесс, принцип осуществления жизни, не ожидая, когда у него что-то получится, а, </w:t>
      </w:r>
      <w:r w:rsidDel="00000000" w:rsidR="00000000" w:rsidRPr="00000000">
        <w:rPr>
          <w:rFonts w:ascii="Times New Roman" w:cs="Times New Roman" w:eastAsia="Times New Roman" w:hAnsi="Times New Roman"/>
          <w:sz w:val="24"/>
          <w:szCs w:val="24"/>
          <w:rtl w:val="0"/>
        </w:rPr>
        <w:t xml:space="preserve">воскрешаясь</w:t>
      </w:r>
      <w:r w:rsidDel="00000000" w:rsidR="00000000" w:rsidRPr="00000000">
        <w:rPr>
          <w:rFonts w:ascii="Times New Roman" w:cs="Times New Roman" w:eastAsia="Times New Roman" w:hAnsi="Times New Roman"/>
          <w:sz w:val="24"/>
          <w:szCs w:val="24"/>
          <w:rtl w:val="0"/>
        </w:rPr>
        <w:t xml:space="preserve">, пробивать путь всему человечеству и самому себе, независимо ни от чего, меняя экономику, меняя материю. </w:t>
      </w:r>
    </w:p>
    <w:p w:rsidR="00000000" w:rsidDel="00000000" w:rsidP="00000000" w:rsidRDefault="00000000" w:rsidRPr="00000000" w14:paraId="0000001C">
      <w:pPr>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firstLine="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Выводы и осмысления: </w:t>
      </w:r>
    </w:p>
    <w:p w:rsidR="00000000" w:rsidDel="00000000" w:rsidP="00000000" w:rsidRDefault="00000000" w:rsidRPr="00000000" w14:paraId="0000001E">
      <w:pPr>
        <w:numPr>
          <w:ilvl w:val="0"/>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Ростом качества синтеза частностей, на примере частности воскрешение, Субъект может менять себя во внутреннем мире и соответственно постепенно изменять материю и экономику в Воле ИВ Отца. </w:t>
      </w:r>
      <w:r w:rsidDel="00000000" w:rsidR="00000000" w:rsidRPr="00000000">
        <w:rPr>
          <w:rtl w:val="0"/>
        </w:rPr>
        <w:t xml:space="preserve">К</w:t>
      </w:r>
      <w:r w:rsidDel="00000000" w:rsidR="00000000" w:rsidRPr="00000000">
        <w:rPr>
          <w:rFonts w:ascii="Times New Roman" w:cs="Times New Roman" w:eastAsia="Times New Roman" w:hAnsi="Times New Roman"/>
          <w:sz w:val="24"/>
          <w:szCs w:val="24"/>
          <w:rtl w:val="0"/>
        </w:rPr>
        <w:t xml:space="preserve">огда он включается в новую реальность, иерархически более высокую, или стяжает в физическое тело то, что должно в нём взрасти, важно зафиксировать рост качества таким, как Субъект воскрес.</w:t>
      </w:r>
    </w:p>
    <w:p w:rsidR="00000000" w:rsidDel="00000000" w:rsidP="00000000" w:rsidRDefault="00000000" w:rsidRPr="00000000" w14:paraId="0000001F">
      <w:pPr>
        <w:numPr>
          <w:ilvl w:val="0"/>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Частность воскрешение влияет на разработку иерархичности экономики. В дальнейшем экономика сможет ориентироваться на Субъекта принципом иерархичности с учетом всех его накоплений, подготовок, компетенций, полномочий, иерархичностей и реализаций. Ростом качества частности воскрешение у Субъекта можно вдохновить на воскрешение каждого, чтобы Экономический Синтез выводил субъектов на более высокие порядки материи.</w:t>
      </w:r>
    </w:p>
    <w:p w:rsidR="00000000" w:rsidDel="00000000" w:rsidP="00000000" w:rsidRDefault="00000000" w:rsidRPr="00000000" w14:paraId="00000020">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right"/>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Сдано ИВАС Кут Хуми в качестве статьи для доклада: 20.02.2026 г. </w:t>
      </w:r>
    </w:p>
    <w:p w:rsidR="00000000" w:rsidDel="00000000" w:rsidP="00000000" w:rsidRDefault="00000000" w:rsidRPr="00000000" w14:paraId="0000002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Доклад: 28.02.26. Отредактировано тезисами и сдано: 31.05.26</w:t>
      </w:r>
      <w:r w:rsidDel="00000000" w:rsidR="00000000" w:rsidRPr="00000000">
        <w:rPr>
          <w:rtl w:val="0"/>
        </w:rPr>
      </w:r>
    </w:p>
    <w:sectPr>
      <w:footerReference r:id="rId9" w:type="default"/>
      <w:footerReference r:id="rId10" w:type="first"/>
      <w:pgSz w:h="16834" w:w="11909" w:orient="portrait"/>
      <w:pgMar w:bottom="1255.0393700787413" w:top="1275.590551181102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adezdasintez@gmail.com" TargetMode="External"/><Relationship Id="rId8" Type="http://schemas.openxmlformats.org/officeDocument/2006/relationships/hyperlink" Target="mailto:nadezdasint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brzvpAg+/p/zuCYdcQvRNq7uw==">CgMxLjA4AHIhMVRmVWNlQk1Nc21jYUc2VkdvTEdyQVp5b1pmbzFKa1lD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